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7B56C" w14:textId="43B4DB3A" w:rsidR="00A54A61" w:rsidRDefault="00A54A61" w:rsidP="00A54A61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 xml:space="preserve">RAN1 agreements (post-RAN1#112) on </w:t>
      </w:r>
      <w:r>
        <w:rPr>
          <w:rFonts w:eastAsia="Batang"/>
          <w:b/>
          <w:sz w:val="28"/>
          <w:szCs w:val="20"/>
          <w:lang w:eastAsia="en-US"/>
        </w:rPr>
        <w:t>unified TCI for mTRP</w:t>
      </w:r>
      <w:bookmarkStart w:id="0" w:name="_GoBack"/>
      <w:bookmarkEnd w:id="0"/>
      <w:r w:rsidRPr="00E01F71">
        <w:rPr>
          <w:rFonts w:eastAsia="Batang"/>
          <w:b/>
          <w:sz w:val="28"/>
          <w:szCs w:val="20"/>
          <w:lang w:eastAsia="en-US"/>
        </w:rPr>
        <w:t xml:space="preserve"> </w:t>
      </w:r>
    </w:p>
    <w:p w14:paraId="0997DF5B" w14:textId="77777777" w:rsidR="00A54A61" w:rsidRPr="00E01F71" w:rsidRDefault="00A54A61" w:rsidP="00A54A61">
      <w:pPr>
        <w:snapToGrid w:val="0"/>
        <w:jc w:val="center"/>
        <w:rPr>
          <w:rFonts w:eastAsia="Batang"/>
          <w:b/>
          <w:sz w:val="28"/>
          <w:szCs w:val="20"/>
          <w:lang w:eastAsia="en-US"/>
        </w:rPr>
      </w:pPr>
      <w:r w:rsidRPr="00E01F71">
        <w:rPr>
          <w:rFonts w:eastAsia="Batang"/>
          <w:b/>
          <w:sz w:val="28"/>
          <w:szCs w:val="20"/>
          <w:lang w:eastAsia="en-US"/>
        </w:rPr>
        <w:t>with potential RAN2/</w:t>
      </w:r>
      <w:r>
        <w:rPr>
          <w:rFonts w:eastAsia="Batang"/>
          <w:b/>
          <w:sz w:val="28"/>
          <w:szCs w:val="20"/>
          <w:lang w:eastAsia="en-US"/>
        </w:rPr>
        <w:t>RAN</w:t>
      </w:r>
      <w:r w:rsidRPr="00E01F71">
        <w:rPr>
          <w:rFonts w:eastAsia="Batang"/>
          <w:b/>
          <w:sz w:val="28"/>
          <w:szCs w:val="20"/>
          <w:lang w:eastAsia="en-US"/>
        </w:rPr>
        <w:t>4 impact</w:t>
      </w:r>
    </w:p>
    <w:p w14:paraId="408AB4D2" w14:textId="77777777" w:rsidR="00A54A61" w:rsidRDefault="00A54A6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6"/>
      </w:tblGrid>
      <w:tr w:rsidR="0019258A" w14:paraId="4E84A2DD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C4AF45" w14:textId="77777777" w:rsidR="0019258A" w:rsidRDefault="0019258A" w:rsidP="00C8175D">
            <w:pPr>
              <w:spacing w:line="240" w:lineRule="exact"/>
              <w:jc w:val="center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RAN1#112</w:t>
            </w:r>
          </w:p>
        </w:tc>
      </w:tr>
      <w:tr w:rsidR="0019258A" w14:paraId="3B80534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C7AFA" w14:textId="78AD6CF6" w:rsidR="00C84715" w:rsidRPr="00C84715" w:rsidRDefault="00C84715" w:rsidP="00C8175D">
            <w:pPr>
              <w:spacing w:line="240" w:lineRule="exact"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 w:rsidRPr="00F9092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162682E5" w14:textId="77777777" w:rsidR="00C84715" w:rsidRPr="00F90924" w:rsidRDefault="00C84715" w:rsidP="00C8175D">
            <w:pPr>
              <w:tabs>
                <w:tab w:val="left" w:pos="0"/>
              </w:tabs>
              <w:spacing w:line="240" w:lineRule="exac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924"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>On unified TCI framework extension for M-DCI based MTRP</w:t>
            </w:r>
            <w:r w:rsidRPr="00F909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Pr="00F9092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down-select from the following options</w:t>
            </w:r>
            <w:r w:rsidRPr="00F909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for PUCCH transmission:</w:t>
            </w:r>
          </w:p>
          <w:p w14:paraId="5E7835E6" w14:textId="77777777" w:rsidR="00C84715" w:rsidRPr="00F90924" w:rsidRDefault="00C84715" w:rsidP="00C8175D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napToGrid w:val="0"/>
              <w:spacing w:after="0" w:line="240" w:lineRule="exact"/>
              <w:ind w:left="31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Opt1: A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value can be provided per PUCCH resource/resource group, and the UE shall apply the indicated joint/UL TCI state specific to the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value to the corresponding PUCCH transmission</w:t>
            </w:r>
          </w:p>
          <w:p w14:paraId="44B8A6ED" w14:textId="77777777" w:rsidR="00C84715" w:rsidRPr="00F90924" w:rsidRDefault="00C84715" w:rsidP="00C8175D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napToGrid w:val="0"/>
              <w:spacing w:after="0" w:line="240" w:lineRule="exact"/>
              <w:ind w:left="314" w:hanging="142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>Opt2: An RRC configuration can be provided per PUCCH resource/resource group to inform that the UE shall apply the first or the second indicated joint/UL TCI state to the corresponding PUCCH transmission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, where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the first and the second indicated joint/DL TCI states correspond to the indicated joint/UL TCI states specific to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value 0 and value 1, respectively.</w:t>
            </w:r>
          </w:p>
          <w:p w14:paraId="7AE89AED" w14:textId="77777777" w:rsidR="00C84715" w:rsidRPr="00F90924" w:rsidRDefault="00C84715" w:rsidP="00C8175D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napToGrid w:val="0"/>
              <w:spacing w:after="0" w:line="240" w:lineRule="exact"/>
              <w:ind w:left="314" w:hanging="142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>Opt3: For a PUCCH transmission triggered by PDCCH</w:t>
            </w:r>
            <w:r w:rsidRPr="00F90924" w:rsidDel="00DB7F4B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on a CORESET when </w:t>
            </w:r>
            <w:r w:rsidRPr="00F90924">
              <w:rPr>
                <w:rFonts w:ascii="Times New Roman" w:eastAsia="DengXian" w:hAnsi="Times New Roman"/>
                <w:color w:val="000000"/>
                <w:sz w:val="18"/>
                <w:szCs w:val="18"/>
                <w:lang w:eastAsia="zh-CN"/>
              </w:rPr>
              <w:t xml:space="preserve">the UCI in the PUCCH transmission carries HARQ-ACK information only, 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  <w:lang w:eastAsia="zh-CN"/>
              </w:rPr>
              <w:t>t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he UE shall apply the indicated joint/UL TCI state specific to a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value to the PUCCH transmission, where the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value is determined from the one associated with the CORESET. </w:t>
            </w:r>
            <w:r w:rsidRPr="00F90924">
              <w:rPr>
                <w:rFonts w:ascii="Times New Roman" w:hAnsi="Times New Roman"/>
                <w:color w:val="FF0000"/>
                <w:sz w:val="18"/>
                <w:szCs w:val="18"/>
              </w:rPr>
              <w:t>Otherwise, either Opt1 or Opt2 is adopted.</w:t>
            </w:r>
          </w:p>
          <w:p w14:paraId="488C6537" w14:textId="77777777" w:rsidR="00C84715" w:rsidRPr="00F90924" w:rsidRDefault="00C84715" w:rsidP="00C8175D">
            <w:pPr>
              <w:widowControl/>
              <w:numPr>
                <w:ilvl w:val="1"/>
                <w:numId w:val="14"/>
              </w:num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909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FFS: </w:t>
            </w:r>
            <w:r w:rsidRPr="00F90924">
              <w:rPr>
                <w:rFonts w:ascii="Times New Roman" w:hAnsi="Times New Roman" w:cs="Times New Roman"/>
                <w:color w:val="000000"/>
                <w:sz w:val="18"/>
                <w:szCs w:val="18"/>
                <w:lang w:val="en-CA" w:eastAsia="zh-CN"/>
              </w:rPr>
              <w:t>Whether</w:t>
            </w:r>
            <w:r w:rsidRPr="00F9092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Opt3 applies only when the </w:t>
            </w:r>
            <w:r w:rsidRPr="00F90924">
              <w:rPr>
                <w:rFonts w:ascii="Times New Roman" w:eastAsia="DengXian" w:hAnsi="Times New Roman" w:cs="Times New Roman"/>
                <w:color w:val="000000"/>
                <w:sz w:val="18"/>
                <w:szCs w:val="18"/>
                <w:lang w:eastAsia="zh-CN"/>
              </w:rPr>
              <w:t xml:space="preserve">UE is not provided with </w:t>
            </w:r>
            <w:proofErr w:type="spellStart"/>
            <w:r w:rsidRPr="00F90924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  <w:lang w:eastAsia="zh-CN"/>
              </w:rPr>
              <w:t>ackNackFeedbackMode</w:t>
            </w:r>
            <w:proofErr w:type="spellEnd"/>
            <w:r w:rsidRPr="00F90924">
              <w:rPr>
                <w:rFonts w:ascii="Times New Roman" w:eastAsia="DengXian" w:hAnsi="Times New Roman" w:cs="Times New Roman"/>
                <w:color w:val="000000"/>
                <w:sz w:val="18"/>
                <w:szCs w:val="18"/>
                <w:lang w:eastAsia="zh-CN"/>
              </w:rPr>
              <w:t xml:space="preserve"> = </w:t>
            </w:r>
            <w:r w:rsidRPr="00F90924">
              <w:rPr>
                <w:rFonts w:ascii="Times New Roman" w:eastAsia="DengXian" w:hAnsi="Times New Roman" w:cs="Times New Roman"/>
                <w:i/>
                <w:iCs/>
                <w:color w:val="000000"/>
                <w:sz w:val="18"/>
                <w:szCs w:val="18"/>
                <w:lang w:eastAsia="zh-CN"/>
              </w:rPr>
              <w:t>joint</w:t>
            </w:r>
          </w:p>
          <w:p w14:paraId="4D13D735" w14:textId="77777777" w:rsidR="00C84715" w:rsidRPr="00F90924" w:rsidRDefault="00C84715" w:rsidP="00C8175D">
            <w:pPr>
              <w:pStyle w:val="ListParagraph"/>
              <w:numPr>
                <w:ilvl w:val="0"/>
                <w:numId w:val="13"/>
              </w:numPr>
              <w:tabs>
                <w:tab w:val="left" w:pos="314"/>
              </w:tabs>
              <w:snapToGrid w:val="0"/>
              <w:spacing w:after="0" w:line="240" w:lineRule="exact"/>
              <w:ind w:left="314" w:hanging="142"/>
              <w:rPr>
                <w:rFonts w:ascii="Times New Roman" w:eastAsia="Malgun Gothic" w:hAnsi="Times New Roman"/>
                <w:color w:val="FF0000"/>
                <w:sz w:val="18"/>
                <w:szCs w:val="18"/>
              </w:rPr>
            </w:pP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Opt4: </w:t>
            </w:r>
            <w:r w:rsidRPr="00F90924">
              <w:rPr>
                <w:rFonts w:ascii="Times New Roman" w:eastAsia="DengXian" w:hAnsi="Times New Roman"/>
                <w:color w:val="000000"/>
                <w:sz w:val="18"/>
                <w:szCs w:val="18"/>
                <w:lang w:eastAsia="zh-CN"/>
              </w:rPr>
              <w:t>For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a PUCCH transmission with a</w:t>
            </w:r>
            <w:r w:rsidRPr="00F90924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>n LRR trigged for ei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>ther the first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0,0</m:t>
                  </m:r>
                </m:sub>
              </m:sSub>
            </m:oMath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>) or the second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0,1</m:t>
                  </m:r>
                </m:sub>
              </m:sSub>
            </m:oMath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when the UE is provided only one </w:t>
            </w:r>
            <w:r w:rsidRPr="00F90924">
              <w:rPr>
                <w:rFonts w:ascii="Times New Roman" w:hAnsi="Times New Roman"/>
                <w:color w:val="FF0000"/>
                <w:sz w:val="18"/>
                <w:szCs w:val="18"/>
              </w:rPr>
              <w:t>or two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schedulingRequestID</w:t>
            </w:r>
            <w:proofErr w:type="spellEnd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-BFR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configuration, the UE shall apply the indicated joint/UL TCI state specific to a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value to the PUCCH transmission, where the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value is 1 when the LRR is</w:t>
            </w:r>
            <w:r w:rsidRPr="00F90924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trigged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for the first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0,0</m:t>
                  </m:r>
                </m:sub>
              </m:sSub>
            </m:oMath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 and the </w:t>
            </w:r>
            <w:proofErr w:type="spellStart"/>
            <w:r w:rsidRPr="00F90924">
              <w:rPr>
                <w:rFonts w:ascii="Times New Roman" w:hAnsi="Times New Roman"/>
                <w:i/>
                <w:iCs/>
                <w:color w:val="000000"/>
                <w:sz w:val="18"/>
                <w:szCs w:val="18"/>
              </w:rPr>
              <w:t>coresetPoolIndex</w:t>
            </w:r>
            <w:proofErr w:type="spellEnd"/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value is 0 when the LRR is</w:t>
            </w:r>
            <w:r w:rsidRPr="00F90924"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trigged</w:t>
            </w:r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for the second BFD-RS set (</w:t>
            </w:r>
            <m:oMath>
              <m:sSub>
                <m:sSubPr>
                  <m:ctrl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color w:val="000000"/>
                          <w:sz w:val="18"/>
                          <w:szCs w:val="18"/>
                        </w:rPr>
                        <m:t>q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sz w:val="18"/>
                      <w:szCs w:val="18"/>
                    </w:rPr>
                    <m:t>0,1</m:t>
                  </m:r>
                </m:sub>
              </m:sSub>
            </m:oMath>
            <w:r w:rsidRPr="00F90924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). </w:t>
            </w:r>
            <w:r w:rsidRPr="00F90924">
              <w:rPr>
                <w:rFonts w:ascii="Times New Roman" w:hAnsi="Times New Roman"/>
                <w:color w:val="FF0000"/>
                <w:sz w:val="18"/>
                <w:szCs w:val="18"/>
              </w:rPr>
              <w:t>Otherwise, either Opt1 or Opt2 is adopted.</w:t>
            </w:r>
          </w:p>
          <w:p w14:paraId="53D9F65E" w14:textId="77777777" w:rsidR="0019258A" w:rsidRDefault="00C84715" w:rsidP="00C8175D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9092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Note: Either Opt1 or Opt2 must be supported</w:t>
            </w:r>
          </w:p>
          <w:p w14:paraId="6BCD6224" w14:textId="6245F71B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RRC</w:t>
            </w:r>
            <w:r w:rsidR="00D41811" w:rsidRPr="00D41811">
              <w:rPr>
                <w:rFonts w:hint="eastAsia"/>
                <w:b/>
                <w:bCs/>
                <w:highlight w:val="cyan"/>
              </w:rPr>
              <w:t xml:space="preserve"> </w:t>
            </w:r>
            <w:r w:rsidR="00D41811" w:rsidRPr="00D41811">
              <w:rPr>
                <w:b/>
                <w:bCs/>
                <w:highlight w:val="cyan"/>
              </w:rPr>
              <w:t>configuration</w:t>
            </w:r>
            <w:r w:rsidR="00D41811">
              <w:rPr>
                <w:b/>
                <w:bCs/>
                <w:highlight w:val="cyan"/>
              </w:rPr>
              <w:t>/parameter</w:t>
            </w:r>
            <w:r w:rsidR="00D41811" w:rsidRPr="00D41811">
              <w:rPr>
                <w:b/>
                <w:bCs/>
                <w:highlight w:val="cyan"/>
              </w:rPr>
              <w:t xml:space="preserve"> pe</w:t>
            </w:r>
            <w:r w:rsidR="00D41811">
              <w:rPr>
                <w:rFonts w:eastAsiaTheme="minorEastAsia"/>
                <w:b/>
                <w:bCs/>
                <w:highlight w:val="cyan"/>
              </w:rPr>
              <w:t xml:space="preserve">r </w:t>
            </w:r>
            <w:r w:rsidR="00D41811" w:rsidRPr="00D41811">
              <w:rPr>
                <w:rFonts w:eastAsiaTheme="minorEastAsia"/>
                <w:b/>
                <w:bCs/>
                <w:highlight w:val="cyan"/>
              </w:rPr>
              <w:t>PUCCH resource/resource group</w:t>
            </w:r>
            <w:r w:rsidRPr="00D41811">
              <w:rPr>
                <w:rFonts w:eastAsiaTheme="minorEastAsia"/>
                <w:b/>
                <w:bCs/>
                <w:highlight w:val="cyan"/>
              </w:rPr>
              <w:t>”</w:t>
            </w:r>
          </w:p>
          <w:p w14:paraId="5168C5FD" w14:textId="0D5AD62F" w:rsidR="00C8175D" w:rsidRPr="00C8175D" w:rsidRDefault="00C8175D" w:rsidP="00C8175D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Style w:val="Strong"/>
                <w:rFonts w:eastAsia="DengXian"/>
                <w:b w:val="0"/>
                <w:bCs w:val="0"/>
                <w:color w:val="000000"/>
                <w:lang w:eastAsia="zh-CN"/>
              </w:rPr>
            </w:pPr>
            <w:r>
              <w:rPr>
                <w:b/>
                <w:bCs/>
                <w:highlight w:val="cyan"/>
              </w:rPr>
              <w:t>“RAN4 impact: none”</w:t>
            </w:r>
          </w:p>
        </w:tc>
      </w:tr>
      <w:tr w:rsidR="0019258A" w14:paraId="29E891D0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069E02" w14:textId="77777777" w:rsidR="0019258A" w:rsidRDefault="0019258A" w:rsidP="00C8175D">
            <w:pPr>
              <w:spacing w:line="240" w:lineRule="exact"/>
              <w:jc w:val="center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RAN1#111</w:t>
            </w:r>
          </w:p>
        </w:tc>
      </w:tr>
      <w:tr w:rsidR="0019258A" w14:paraId="48E7DC4F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C01D37" w14:textId="5E4F19BA" w:rsidR="0019258A" w:rsidRDefault="0019258A" w:rsidP="00C8175D">
            <w:pPr>
              <w:spacing w:line="240" w:lineRule="exact"/>
              <w:contextualSpacing/>
              <w:jc w:val="both"/>
              <w:rPr>
                <w:rFonts w:ascii="Times New Roman" w:eastAsia="Batang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152DBCEC" w14:textId="77777777" w:rsidR="0019258A" w:rsidRDefault="0019258A" w:rsidP="00C8175D">
            <w:pPr>
              <w:spacing w:line="240" w:lineRule="exact"/>
              <w:contextualSpacing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On unified TCI framework extension for S-DCI based MTRP, a DCI field in DCI format 1_1/1_2 that schedules/activates PDSCH reception is used to determi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ne which one or both of the indicated joint/DL TCI states shall be applied to the scheduled/activated PDSCH reception</w:t>
            </w:r>
          </w:p>
          <w:p w14:paraId="16B5599E" w14:textId="77777777" w:rsidR="0019258A" w:rsidRDefault="0019258A" w:rsidP="00C8175D">
            <w:pPr>
              <w:widowControl/>
              <w:numPr>
                <w:ilvl w:val="0"/>
                <w:numId w:val="1"/>
              </w:numPr>
              <w:spacing w:line="240" w:lineRule="exact"/>
              <w:ind w:left="709" w:hanging="283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228BC">
              <w:rPr>
                <w:rFonts w:ascii="Times New Roman" w:hAnsi="Times New Roman"/>
                <w:color w:val="000000"/>
                <w:sz w:val="18"/>
                <w:szCs w:val="18"/>
              </w:rPr>
              <w:t>The presence of the DCI field is configurable by RRC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; when the DCI field is not present in DCI format 1_1/1_2, the UE shall apply the default indicated joint/DL TCI state(s) to PDSCH reception</w:t>
            </w:r>
          </w:p>
          <w:p w14:paraId="463BB87F" w14:textId="77777777" w:rsidR="0019258A" w:rsidRDefault="0019258A" w:rsidP="00C8175D">
            <w:pPr>
              <w:widowControl/>
              <w:numPr>
                <w:ilvl w:val="1"/>
                <w:numId w:val="2"/>
              </w:numPr>
              <w:spacing w:line="240" w:lineRule="exact"/>
              <w:ind w:left="1418" w:hanging="284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FFS: Details on the default indicated joint/DL TCI state(s) to PDSCH reception</w:t>
            </w:r>
          </w:p>
          <w:p w14:paraId="7C21BF84" w14:textId="77777777" w:rsidR="0019258A" w:rsidRDefault="0019258A" w:rsidP="00C8175D">
            <w:pPr>
              <w:widowControl/>
              <w:numPr>
                <w:ilvl w:val="0"/>
                <w:numId w:val="1"/>
              </w:numPr>
              <w:spacing w:line="240" w:lineRule="exact"/>
              <w:ind w:left="709" w:hanging="283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FFS: The DCI field is a new indicator field or an existing field (e.g., the existing TCI field)</w:t>
            </w:r>
          </w:p>
          <w:p w14:paraId="35BD33EC" w14:textId="77777777" w:rsidR="0019258A" w:rsidRDefault="0019258A" w:rsidP="00C8175D">
            <w:pPr>
              <w:widowControl/>
              <w:numPr>
                <w:ilvl w:val="0"/>
                <w:numId w:val="1"/>
              </w:numPr>
              <w:spacing w:line="240" w:lineRule="exact"/>
              <w:ind w:left="709" w:hanging="283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FFS: Regardless the DCI field is present or not present, how to apply the indicated joint/DL TCI state(s) to PDSCH reception if the offset between the reception of the DCI format 1_1/1_2 and the corresponding PDSCH reception is less than a threshold </w:t>
            </w:r>
          </w:p>
          <w:p w14:paraId="367DC013" w14:textId="77777777" w:rsidR="0019258A" w:rsidRDefault="0019258A" w:rsidP="00C8175D">
            <w:pPr>
              <w:spacing w:line="240" w:lineRule="exact"/>
              <w:contextualSpacing/>
              <w:jc w:val="both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FFS: How to apply the indicated joint/DL TCI state(s) to PDSCH reception scheduled/activated by DCI format 1_0.</w:t>
            </w:r>
          </w:p>
          <w:p w14:paraId="113E5C7E" w14:textId="77777777" w:rsidR="0019258A" w:rsidRDefault="0019258A" w:rsidP="00C8175D">
            <w:pPr>
              <w:spacing w:line="240" w:lineRule="exact"/>
              <w:contextualSpacing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Above applies for the case where PDSCHs scheduled by the same DCI.</w:t>
            </w:r>
          </w:p>
          <w:p w14:paraId="0C2C531E" w14:textId="32CE851F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“RAN2 impact: </w:t>
            </w:r>
            <w:r w:rsidR="00D41811">
              <w:rPr>
                <w:b/>
                <w:bCs/>
                <w:highlight w:val="cyan"/>
              </w:rPr>
              <w:t>P</w:t>
            </w:r>
            <w:r w:rsidR="00D41811" w:rsidRPr="00D41811">
              <w:rPr>
                <w:b/>
                <w:bCs/>
                <w:highlight w:val="cyan"/>
              </w:rPr>
              <w:t>resence of the</w:t>
            </w:r>
            <w:r w:rsidR="00D41811">
              <w:rPr>
                <w:b/>
                <w:bCs/>
                <w:highlight w:val="cyan"/>
              </w:rPr>
              <w:t xml:space="preserve"> new</w:t>
            </w:r>
            <w:r w:rsidR="00D41811" w:rsidRPr="00D41811">
              <w:rPr>
                <w:b/>
                <w:bCs/>
                <w:highlight w:val="cyan"/>
              </w:rPr>
              <w:t xml:space="preserve"> DCI </w:t>
            </w:r>
            <w:r w:rsidR="00D41811">
              <w:rPr>
                <w:b/>
                <w:bCs/>
                <w:highlight w:val="cyan"/>
              </w:rPr>
              <w:t>field</w:t>
            </w:r>
            <w:r w:rsidR="00D41811" w:rsidRPr="00D41811">
              <w:rPr>
                <w:b/>
                <w:bCs/>
                <w:highlight w:val="cyan"/>
              </w:rPr>
              <w:t xml:space="preserve"> is configurable by RRC</w:t>
            </w:r>
            <w:r>
              <w:rPr>
                <w:b/>
                <w:bCs/>
                <w:highlight w:val="cyan"/>
              </w:rPr>
              <w:t>”</w:t>
            </w:r>
          </w:p>
          <w:p w14:paraId="1B7D5063" w14:textId="77777777" w:rsidR="00C8175D" w:rsidRDefault="00C8175D" w:rsidP="00C8175D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Style w:val="Strong"/>
                <w:rFonts w:eastAsia="DengXian"/>
                <w:b w:val="0"/>
                <w:bCs w:val="0"/>
                <w:color w:val="000000"/>
                <w:lang w:eastAsia="zh-CN"/>
              </w:rPr>
            </w:pPr>
            <w:r>
              <w:rPr>
                <w:b/>
                <w:bCs/>
                <w:highlight w:val="cyan"/>
              </w:rPr>
              <w:t>“RAN4 impact: none”</w:t>
            </w:r>
          </w:p>
          <w:p w14:paraId="6E3541DB" w14:textId="77777777" w:rsidR="00C8175D" w:rsidRPr="00C8175D" w:rsidRDefault="00C8175D" w:rsidP="00C8175D">
            <w:pPr>
              <w:spacing w:line="240" w:lineRule="exact"/>
              <w:rPr>
                <w:rStyle w:val="Strong"/>
                <w:rFonts w:eastAsiaTheme="minorEastAsia"/>
              </w:rPr>
            </w:pPr>
          </w:p>
          <w:p w14:paraId="5CA41086" w14:textId="0017AD00" w:rsidR="0019258A" w:rsidRDefault="0019258A" w:rsidP="00C8175D">
            <w:pPr>
              <w:spacing w:line="240" w:lineRule="exact"/>
              <w:jc w:val="both"/>
              <w:rPr>
                <w:rFonts w:ascii="Times New Roman" w:eastAsia="Batang" w:hAnsi="Times New Roman" w:cs="Times New Roman"/>
                <w:highlight w:val="gree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highlight w:val="green"/>
              </w:rPr>
              <w:t>Agreement</w:t>
            </w:r>
          </w:p>
          <w:p w14:paraId="1D1ADD18" w14:textId="77777777" w:rsidR="0019258A" w:rsidRDefault="0019258A" w:rsidP="00C8175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On unified TCI framework extension for S-DCI based MTRP, use RRC configuration to inform that the UE shall apply the first one, the second one, or both of the indicated joint/UL TCI states to a PUCCH resource/group</w:t>
            </w:r>
          </w:p>
          <w:p w14:paraId="2AA0913A" w14:textId="77777777" w:rsidR="0019258A" w:rsidRDefault="0019258A" w:rsidP="00C8175D">
            <w:pPr>
              <w:widowControl/>
              <w:numPr>
                <w:ilvl w:val="0"/>
                <w:numId w:val="1"/>
              </w:numPr>
              <w:spacing w:line="240" w:lineRule="exact"/>
              <w:ind w:left="709" w:hanging="283"/>
              <w:contextualSpacing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Note: Detail of 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lang w:eastAsia="zh-CN"/>
              </w:rPr>
              <w:t xml:space="preserve"> RRC configuration is left to RAN2 design</w:t>
            </w:r>
          </w:p>
          <w:p w14:paraId="04CAA454" w14:textId="58F85624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“RAN2 impact: </w:t>
            </w:r>
            <w:r w:rsidR="00D41811">
              <w:rPr>
                <w:b/>
                <w:bCs/>
                <w:highlight w:val="cyan"/>
              </w:rPr>
              <w:t>RRC</w:t>
            </w:r>
            <w:r w:rsidR="00D41811" w:rsidRPr="00D41811">
              <w:rPr>
                <w:rFonts w:hint="eastAsia"/>
                <w:b/>
                <w:bCs/>
                <w:highlight w:val="cyan"/>
              </w:rPr>
              <w:t xml:space="preserve"> </w:t>
            </w:r>
            <w:r w:rsidR="00D41811" w:rsidRPr="00D41811">
              <w:rPr>
                <w:b/>
                <w:bCs/>
                <w:highlight w:val="cyan"/>
              </w:rPr>
              <w:t>configuration</w:t>
            </w:r>
            <w:r w:rsidR="00D41811">
              <w:rPr>
                <w:b/>
                <w:bCs/>
                <w:highlight w:val="cyan"/>
              </w:rPr>
              <w:t>/parameter</w:t>
            </w:r>
            <w:r w:rsidR="00D41811" w:rsidRPr="00D41811">
              <w:rPr>
                <w:b/>
                <w:bCs/>
                <w:highlight w:val="cyan"/>
              </w:rPr>
              <w:t xml:space="preserve"> pe</w:t>
            </w:r>
            <w:r w:rsidR="00D41811">
              <w:rPr>
                <w:rFonts w:eastAsiaTheme="minorEastAsia"/>
                <w:b/>
                <w:bCs/>
                <w:highlight w:val="cyan"/>
              </w:rPr>
              <w:t xml:space="preserve">r </w:t>
            </w:r>
            <w:r w:rsidR="00D41811" w:rsidRPr="00D41811">
              <w:rPr>
                <w:rFonts w:eastAsiaTheme="minorEastAsia"/>
                <w:b/>
                <w:bCs/>
                <w:highlight w:val="cyan"/>
              </w:rPr>
              <w:t>PUCCH resource/resource group</w:t>
            </w:r>
            <w:r>
              <w:rPr>
                <w:b/>
                <w:bCs/>
                <w:highlight w:val="cyan"/>
              </w:rPr>
              <w:t>”</w:t>
            </w:r>
          </w:p>
          <w:p w14:paraId="7BE630B7" w14:textId="6BC3A956" w:rsidR="0019258A" w:rsidRPr="00C8175D" w:rsidRDefault="00C8175D" w:rsidP="00C8175D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Style w:val="Strong"/>
                <w:rFonts w:eastAsia="DengXian"/>
                <w:b w:val="0"/>
                <w:bCs w:val="0"/>
                <w:color w:val="000000"/>
                <w:lang w:eastAsia="zh-CN"/>
              </w:rPr>
            </w:pPr>
            <w:r>
              <w:rPr>
                <w:b/>
                <w:bCs/>
                <w:highlight w:val="cyan"/>
              </w:rPr>
              <w:t>“RAN4 impact: none”</w:t>
            </w:r>
          </w:p>
        </w:tc>
      </w:tr>
      <w:tr w:rsidR="0019258A" w14:paraId="2C04B39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FB980C" w14:textId="77777777" w:rsidR="0019258A" w:rsidRDefault="0019258A" w:rsidP="00C8175D">
            <w:pPr>
              <w:spacing w:line="240" w:lineRule="exact"/>
              <w:jc w:val="center"/>
              <w:rPr>
                <w:rStyle w:val="Strong"/>
                <w:rFonts w:ascii="Arial" w:hAnsi="Arial" w:cs="Arial"/>
                <w:sz w:val="18"/>
                <w:szCs w:val="18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RAN1#110b-e</w:t>
            </w:r>
          </w:p>
        </w:tc>
      </w:tr>
      <w:tr w:rsidR="0019258A" w14:paraId="7E656348" w14:textId="77777777" w:rsidTr="0019258A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33079F" w14:textId="07FFA444" w:rsidR="0019258A" w:rsidRDefault="0019258A" w:rsidP="00C8175D">
            <w:pPr>
              <w:tabs>
                <w:tab w:val="left" w:pos="3206"/>
              </w:tabs>
              <w:spacing w:line="240" w:lineRule="exact"/>
              <w:rPr>
                <w:rFonts w:ascii="Times New Roman" w:eastAsia="Batang" w:hAnsi="Times New Roman" w:cs="Times New Roman"/>
                <w:highlight w:val="green"/>
                <w:lang w:val="en-GB" w:eastAsia="en-US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  <w:highlight w:val="green"/>
                <w:lang w:val="en-GB" w:eastAsia="en-US"/>
              </w:rPr>
              <w:t>Agreement</w:t>
            </w:r>
          </w:p>
          <w:p w14:paraId="18B836F4" w14:textId="77777777" w:rsidR="0019258A" w:rsidRDefault="0019258A" w:rsidP="00C8175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On unified TCI framework extension for M-DCI based MTRP:</w:t>
            </w:r>
          </w:p>
          <w:p w14:paraId="6E210076" w14:textId="77777777" w:rsidR="0019258A" w:rsidRDefault="0019258A" w:rsidP="00C8175D">
            <w:pPr>
              <w:widowControl/>
              <w:numPr>
                <w:ilvl w:val="0"/>
                <w:numId w:val="3"/>
              </w:numPr>
              <w:suppressAutoHyphens/>
              <w:spacing w:line="240" w:lineRule="exact"/>
              <w:ind w:left="589" w:hanging="142"/>
              <w:contextualSpacing/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t xml:space="preserve">The existing TCI field in a DCI format 1_1/1_2 (with or without DL assignment) associated with one </w:t>
            </w:r>
            <w:proofErr w:type="spellStart"/>
            <w:r>
              <w:rPr>
                <w:rFonts w:ascii="Times New Roman" w:eastAsia="Batang" w:hAnsi="Times New Roman" w:cs="Times New Roman"/>
                <w:i/>
                <w:iCs/>
                <w:color w:val="000000"/>
                <w:sz w:val="18"/>
                <w:szCs w:val="18"/>
                <w:lang w:val="en-GB" w:eastAsia="zh-CN"/>
              </w:rPr>
              <w:t>coresetPoolIndex</w:t>
            </w:r>
            <w:proofErr w:type="spellEnd"/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t xml:space="preserve"> value can indicate the joint/DL/UL TCI state(s) specific to the same </w:t>
            </w:r>
            <w:proofErr w:type="spellStart"/>
            <w:r>
              <w:rPr>
                <w:rFonts w:ascii="Times New Roman" w:eastAsia="Batang" w:hAnsi="Times New Roman" w:cs="Times New Roman"/>
                <w:i/>
                <w:iCs/>
                <w:color w:val="000000"/>
                <w:sz w:val="18"/>
                <w:szCs w:val="18"/>
                <w:lang w:val="en-GB" w:eastAsia="zh-CN"/>
              </w:rPr>
              <w:t>coresetPoolIndex</w:t>
            </w:r>
            <w:proofErr w:type="spellEnd"/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t xml:space="preserve"> value</w:t>
            </w:r>
          </w:p>
          <w:p w14:paraId="031B9633" w14:textId="77777777" w:rsidR="0019258A" w:rsidRDefault="0019258A" w:rsidP="00C8175D">
            <w:pPr>
              <w:pStyle w:val="ListParagraph"/>
              <w:numPr>
                <w:ilvl w:val="1"/>
                <w:numId w:val="2"/>
              </w:numPr>
              <w:spacing w:after="0" w:line="240" w:lineRule="exact"/>
              <w:ind w:left="1418" w:hanging="284"/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FFS: The UE shall apply the indicated joint/DL/UL TCI state(s) specific to a </w:t>
            </w:r>
            <w:proofErr w:type="spellStart"/>
            <w:r>
              <w:rPr>
                <w:rFonts w:ascii="Times New Roman" w:eastAsia="PMingLiU" w:hAnsi="Times New Roman"/>
                <w:i/>
                <w:iCs/>
                <w:color w:val="000000"/>
                <w:sz w:val="18"/>
                <w:szCs w:val="18"/>
                <w:lang w:eastAsia="zh-TW"/>
              </w:rPr>
              <w:t>coresetPoolIndex</w:t>
            </w:r>
            <w:proofErr w:type="spellEnd"/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value to channel(s)/signal(s) that have explicit or implicit association with the same </w:t>
            </w:r>
            <w:proofErr w:type="spellStart"/>
            <w:r>
              <w:rPr>
                <w:rFonts w:ascii="Times New Roman" w:eastAsia="PMingLiU" w:hAnsi="Times New Roman"/>
                <w:i/>
                <w:iCs/>
                <w:color w:val="000000"/>
                <w:sz w:val="18"/>
                <w:szCs w:val="18"/>
                <w:lang w:eastAsia="zh-TW"/>
              </w:rPr>
              <w:t>coresetPoolIndex</w:t>
            </w:r>
            <w:proofErr w:type="spellEnd"/>
            <w:r>
              <w:rPr>
                <w:rFonts w:ascii="Times New Roman" w:eastAsia="PMingLiU" w:hAnsi="Times New Roman"/>
                <w:color w:val="000000"/>
                <w:sz w:val="18"/>
                <w:szCs w:val="18"/>
                <w:lang w:eastAsia="zh-TW"/>
              </w:rPr>
              <w:t xml:space="preserve"> value</w:t>
            </w:r>
          </w:p>
          <w:p w14:paraId="545DC239" w14:textId="77777777" w:rsidR="0019258A" w:rsidRDefault="0019258A" w:rsidP="00C8175D">
            <w:pPr>
              <w:widowControl/>
              <w:numPr>
                <w:ilvl w:val="0"/>
                <w:numId w:val="3"/>
              </w:numPr>
              <w:suppressAutoHyphens/>
              <w:spacing w:line="240" w:lineRule="exact"/>
              <w:ind w:left="589" w:hanging="109"/>
              <w:contextualSpacing/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lastRenderedPageBreak/>
              <w:t xml:space="preserve">A </w:t>
            </w:r>
            <w:proofErr w:type="spellStart"/>
            <w:r>
              <w:rPr>
                <w:rFonts w:ascii="Times New Roman" w:eastAsia="Batang" w:hAnsi="Times New Roman" w:cs="Times New Roman"/>
                <w:i/>
                <w:iCs/>
                <w:color w:val="000000"/>
                <w:sz w:val="18"/>
                <w:szCs w:val="18"/>
                <w:lang w:val="en-GB" w:eastAsia="zh-CN"/>
              </w:rPr>
              <w:t>coresetPoolIndex</w:t>
            </w:r>
            <w:proofErr w:type="spellEnd"/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t xml:space="preserve"> value field is included in TCI state activation command (MAC-CE) to indicate that the mapping between the activated TCI state(s) and the TCI codepoint(s) is specific to which </w:t>
            </w:r>
            <w:proofErr w:type="spellStart"/>
            <w:r>
              <w:rPr>
                <w:rFonts w:ascii="Times New Roman" w:eastAsia="Batang" w:hAnsi="Times New Roman" w:cs="Times New Roman"/>
                <w:i/>
                <w:iCs/>
                <w:color w:val="000000"/>
                <w:sz w:val="18"/>
                <w:szCs w:val="18"/>
                <w:lang w:val="en-GB" w:eastAsia="zh-CN"/>
              </w:rPr>
              <w:t>coresetPoolIndex</w:t>
            </w:r>
            <w:proofErr w:type="spellEnd"/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t xml:space="preserve"> value</w:t>
            </w:r>
          </w:p>
          <w:p w14:paraId="05233F44" w14:textId="265E3DE2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MAC-CE</w:t>
            </w:r>
            <w:r w:rsidR="00D41811">
              <w:rPr>
                <w:b/>
                <w:bCs/>
                <w:highlight w:val="cyan"/>
              </w:rPr>
              <w:t xml:space="preserve"> for TCI state activation</w:t>
            </w:r>
            <w:r>
              <w:rPr>
                <w:b/>
                <w:bCs/>
                <w:highlight w:val="cyan"/>
              </w:rPr>
              <w:t>”</w:t>
            </w:r>
          </w:p>
          <w:p w14:paraId="343EB965" w14:textId="77777777" w:rsidR="00C8175D" w:rsidRDefault="00C8175D" w:rsidP="00C8175D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Style w:val="Strong"/>
                <w:rFonts w:eastAsia="DengXian"/>
                <w:b w:val="0"/>
                <w:bCs w:val="0"/>
                <w:color w:val="000000"/>
                <w:lang w:eastAsia="zh-CN"/>
              </w:rPr>
            </w:pPr>
            <w:r>
              <w:rPr>
                <w:b/>
                <w:bCs/>
                <w:highlight w:val="cyan"/>
              </w:rPr>
              <w:t>“RAN4 impact: none”</w:t>
            </w:r>
          </w:p>
          <w:p w14:paraId="7869A32A" w14:textId="07A5737A" w:rsidR="00C8175D" w:rsidRPr="00C8175D" w:rsidRDefault="00C8175D" w:rsidP="00C8175D">
            <w:pPr>
              <w:spacing w:line="240" w:lineRule="exact"/>
              <w:rPr>
                <w:rFonts w:ascii="Times New Roman" w:eastAsiaTheme="minorEastAsia" w:hAnsi="Times New Roman" w:cs="Times New Roman"/>
                <w:iCs/>
                <w:sz w:val="18"/>
                <w:szCs w:val="18"/>
              </w:rPr>
            </w:pPr>
          </w:p>
          <w:p w14:paraId="51A23487" w14:textId="5AD8524D" w:rsidR="0019258A" w:rsidRPr="0019258A" w:rsidRDefault="0019258A" w:rsidP="00C8175D">
            <w:pPr>
              <w:spacing w:line="240" w:lineRule="exact"/>
              <w:rPr>
                <w:rStyle w:val="Strong"/>
                <w:rFonts w:ascii="Times" w:eastAsiaTheme="minorEastAsia" w:hAnsi="Times" w:cs="Times"/>
                <w:sz w:val="18"/>
                <w:szCs w:val="18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  <w:highlight w:val="green"/>
                <w:lang w:val="en-GB" w:eastAsia="en-US"/>
              </w:rPr>
              <w:t>Agreement</w:t>
            </w:r>
          </w:p>
          <w:p w14:paraId="56C5F463" w14:textId="77777777" w:rsidR="0019258A" w:rsidRDefault="0019258A" w:rsidP="00C8175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On unified TCI framework extension for S-DCI based MTRP, to inform the association with the joint/DL TCI state(s) indicated by DCI/MAC-CE for PDCCH repetition, PDCCH-SFN, and PDCCH w/o repetition/SFN, support the following:</w:t>
            </w:r>
          </w:p>
          <w:p w14:paraId="033D4F89" w14:textId="77777777" w:rsidR="0019258A" w:rsidRDefault="0019258A" w:rsidP="00C8175D">
            <w:pPr>
              <w:widowControl/>
              <w:numPr>
                <w:ilvl w:val="0"/>
                <w:numId w:val="3"/>
              </w:numPr>
              <w:suppressAutoHyphens/>
              <w:spacing w:line="240" w:lineRule="exact"/>
              <w:ind w:left="589" w:hanging="109"/>
              <w:contextualSpacing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eastAsia="Batang" w:hAnsi="Times New Roman" w:cs="Times New Roman"/>
                <w:color w:val="000000"/>
                <w:sz w:val="18"/>
                <w:szCs w:val="18"/>
                <w:lang w:val="en-GB" w:eastAsia="zh-CN"/>
              </w:rPr>
              <w:t>Use RRC configuration to inform that the UE shall apply the first one, the second one, both, or none of the joint/DL TCI states indicated by DCI/MAC-CE to a CORESET or a group of CORESETs (if CORESET group configuration is supported)</w:t>
            </w:r>
          </w:p>
          <w:p w14:paraId="086BF2C5" w14:textId="0F1C1279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“RAN2 impact: </w:t>
            </w:r>
            <w:r w:rsidR="00D41811">
              <w:rPr>
                <w:b/>
                <w:bCs/>
                <w:highlight w:val="cyan"/>
              </w:rPr>
              <w:t>RRC</w:t>
            </w:r>
            <w:r w:rsidR="00D41811" w:rsidRPr="00D41811">
              <w:rPr>
                <w:rFonts w:hint="eastAsia"/>
                <w:b/>
                <w:bCs/>
                <w:highlight w:val="cyan"/>
              </w:rPr>
              <w:t xml:space="preserve"> </w:t>
            </w:r>
            <w:r w:rsidR="00D41811" w:rsidRPr="00D41811">
              <w:rPr>
                <w:b/>
                <w:bCs/>
                <w:highlight w:val="cyan"/>
              </w:rPr>
              <w:t>configuration</w:t>
            </w:r>
            <w:r w:rsidR="00D41811">
              <w:rPr>
                <w:b/>
                <w:bCs/>
                <w:highlight w:val="cyan"/>
              </w:rPr>
              <w:t>/parameter</w:t>
            </w:r>
            <w:r w:rsidR="00D41811" w:rsidRPr="00D41811">
              <w:rPr>
                <w:b/>
                <w:bCs/>
                <w:highlight w:val="cyan"/>
              </w:rPr>
              <w:t xml:space="preserve"> pe</w:t>
            </w:r>
            <w:r w:rsidR="00D41811">
              <w:rPr>
                <w:rFonts w:eastAsiaTheme="minorEastAsia"/>
                <w:b/>
                <w:bCs/>
                <w:highlight w:val="cyan"/>
              </w:rPr>
              <w:t>r CORESET</w:t>
            </w:r>
            <w:r>
              <w:rPr>
                <w:b/>
                <w:bCs/>
                <w:highlight w:val="cyan"/>
              </w:rPr>
              <w:t>”</w:t>
            </w:r>
          </w:p>
          <w:p w14:paraId="45FFFBCE" w14:textId="304D1661" w:rsidR="00C8175D" w:rsidRDefault="00C8175D" w:rsidP="00C8175D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Style w:val="Strong"/>
                <w:rFonts w:eastAsia="DengXian"/>
                <w:b w:val="0"/>
                <w:bCs w:val="0"/>
                <w:color w:val="000000"/>
                <w:lang w:eastAsia="zh-CN"/>
              </w:rPr>
            </w:pPr>
            <w:r>
              <w:rPr>
                <w:b/>
                <w:bCs/>
                <w:highlight w:val="cyan"/>
              </w:rPr>
              <w:t>“RAN4 impact: none”</w:t>
            </w:r>
          </w:p>
          <w:p w14:paraId="32CB4570" w14:textId="77777777" w:rsidR="00C8175D" w:rsidRDefault="00C8175D" w:rsidP="00C8175D">
            <w:pPr>
              <w:tabs>
                <w:tab w:val="left" w:pos="0"/>
              </w:tabs>
              <w:spacing w:line="240" w:lineRule="exact"/>
              <w:contextualSpacing/>
              <w:jc w:val="both"/>
              <w:rPr>
                <w:rStyle w:val="Strong"/>
                <w:rFonts w:eastAsia="DengXian"/>
                <w:b w:val="0"/>
                <w:bCs w:val="0"/>
                <w:color w:val="000000"/>
                <w:lang w:eastAsia="zh-CN"/>
              </w:rPr>
            </w:pPr>
          </w:p>
          <w:p w14:paraId="26DEDBDA" w14:textId="50D5B018" w:rsidR="0019258A" w:rsidRDefault="0019258A" w:rsidP="00C8175D">
            <w:pPr>
              <w:spacing w:line="240" w:lineRule="exact"/>
              <w:rPr>
                <w:rFonts w:ascii="Times New Roman" w:eastAsia="Batang" w:hAnsi="Times New Roman" w:cs="Times New Roman"/>
                <w:b/>
                <w:bCs/>
                <w:highlight w:val="green"/>
                <w:lang w:val="en-GB" w:eastAsia="en-US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18"/>
                <w:szCs w:val="18"/>
                <w:highlight w:val="green"/>
                <w:lang w:val="en-GB" w:eastAsia="en-US"/>
              </w:rPr>
              <w:t>Agreement</w:t>
            </w:r>
          </w:p>
          <w:p w14:paraId="4EA50A11" w14:textId="77777777" w:rsidR="0019258A" w:rsidRDefault="0019258A" w:rsidP="00C8175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On unified TCI framework extension for M-DCI based MTRP:</w:t>
            </w:r>
          </w:p>
          <w:p w14:paraId="2C802025" w14:textId="77777777" w:rsidR="0019258A" w:rsidRDefault="0019258A" w:rsidP="00C8175D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exact"/>
              <w:ind w:left="993" w:hanging="28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For a serving cell configured with joint DL/UL TCI mode, one joint TCI state can be mapped to a TCI codepoint of the existing TCI field in a DCI format 1_1/1_2 (with or without DL assignment)</w:t>
            </w:r>
          </w:p>
          <w:p w14:paraId="31909D9C" w14:textId="77777777" w:rsidR="0019258A" w:rsidRDefault="0019258A" w:rsidP="00C8175D">
            <w:pPr>
              <w:pStyle w:val="ListParagraph"/>
              <w:numPr>
                <w:ilvl w:val="0"/>
                <w:numId w:val="4"/>
              </w:numPr>
              <w:suppressAutoHyphens w:val="0"/>
              <w:spacing w:after="0" w:line="240" w:lineRule="exact"/>
              <w:ind w:left="993" w:hanging="284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For a serving cell configured with separate DL/UL TCI mode, a DL TCI state, an UL TCI state, or a pair of DL and UL TCI states can be mapped to a TCI codepoint of the existing TCI field in a DCI format 1_1/1_2 (with or without DL assignment)</w:t>
            </w:r>
          </w:p>
          <w:p w14:paraId="53CCC7EA" w14:textId="026DDC84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 xml:space="preserve">“RAN2 impact: </w:t>
            </w:r>
            <w:r w:rsidR="00D41811">
              <w:rPr>
                <w:b/>
                <w:bCs/>
                <w:highlight w:val="cyan"/>
              </w:rPr>
              <w:t>MAC-CE for TCI state activation</w:t>
            </w:r>
            <w:r>
              <w:rPr>
                <w:b/>
                <w:bCs/>
                <w:highlight w:val="cyan"/>
              </w:rPr>
              <w:t>”</w:t>
            </w:r>
          </w:p>
          <w:p w14:paraId="00CAC7F3" w14:textId="3770D43E" w:rsidR="00C8175D" w:rsidRPr="00C8175D" w:rsidRDefault="00C8175D" w:rsidP="00C8175D">
            <w:pPr>
              <w:tabs>
                <w:tab w:val="left" w:pos="0"/>
              </w:tabs>
              <w:spacing w:line="240" w:lineRule="exact"/>
              <w:rPr>
                <w:rStyle w:val="Strong"/>
                <w:rFonts w:ascii="Times New Roman" w:eastAsiaTheme="minorEastAsia" w:hAnsi="Times New Roman"/>
                <w:b w:val="0"/>
                <w:bCs w:val="0"/>
                <w:color w:val="000000"/>
                <w:sz w:val="18"/>
                <w:szCs w:val="18"/>
              </w:rPr>
            </w:pPr>
            <w:r>
              <w:rPr>
                <w:b/>
                <w:bCs/>
                <w:highlight w:val="cyan"/>
              </w:rPr>
              <w:t>“RAN4 impact: none”</w:t>
            </w:r>
          </w:p>
        </w:tc>
      </w:tr>
      <w:tr w:rsidR="0019258A" w14:paraId="6CB52301" w14:textId="77777777" w:rsidTr="001925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9EAF3B" w14:textId="77777777" w:rsidR="0019258A" w:rsidRDefault="0019258A" w:rsidP="00C8175D">
            <w:pPr>
              <w:spacing w:line="240" w:lineRule="exact"/>
              <w:jc w:val="center"/>
              <w:rPr>
                <w:rStyle w:val="Strong"/>
                <w:rFonts w:ascii="Times" w:hAnsi="Times" w:cs="Times"/>
                <w:sz w:val="16"/>
                <w:szCs w:val="16"/>
                <w:highlight w:val="green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lastRenderedPageBreak/>
              <w:t>RAN1#110</w:t>
            </w:r>
          </w:p>
        </w:tc>
      </w:tr>
      <w:tr w:rsidR="0019258A" w14:paraId="449EC8A8" w14:textId="77777777" w:rsidTr="0019258A">
        <w:trPr>
          <w:trHeight w:val="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01F848" w14:textId="77777777" w:rsidR="0019258A" w:rsidRDefault="0019258A" w:rsidP="00C8175D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highlight w:val="green"/>
                <w:lang w:eastAsia="en-US"/>
              </w:rPr>
            </w:pPr>
            <w:r>
              <w:rPr>
                <w:rStyle w:val="Strong"/>
                <w:rFonts w:ascii="Arial" w:hAnsi="Arial" w:cs="Arial"/>
                <w:sz w:val="18"/>
                <w:szCs w:val="18"/>
              </w:rPr>
              <w:t>RAN1#109e</w:t>
            </w:r>
          </w:p>
        </w:tc>
      </w:tr>
      <w:tr w:rsidR="0019258A" w14:paraId="4E53E973" w14:textId="77777777" w:rsidTr="0019258A">
        <w:trPr>
          <w:trHeight w:val="15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F9E7" w14:textId="35C885A8" w:rsidR="0019258A" w:rsidRPr="0019258A" w:rsidRDefault="0019258A" w:rsidP="00C8175D">
            <w:pPr>
              <w:spacing w:line="240" w:lineRule="exact"/>
              <w:rPr>
                <w:rStyle w:val="Strong"/>
                <w:rFonts w:ascii="Times" w:eastAsiaTheme="minorEastAsia" w:hAnsi="Times" w:cs="Times"/>
              </w:rPr>
            </w:pPr>
            <w:r>
              <w:rPr>
                <w:rStyle w:val="Strong"/>
                <w:rFonts w:ascii="Times" w:hAnsi="Times" w:cs="Times"/>
                <w:sz w:val="18"/>
                <w:szCs w:val="18"/>
                <w:highlight w:val="green"/>
              </w:rPr>
              <w:t>Agreement</w:t>
            </w:r>
          </w:p>
          <w:p w14:paraId="45DBD5C1" w14:textId="77777777" w:rsidR="0019258A" w:rsidRDefault="0019258A" w:rsidP="00C8175D">
            <w:pPr>
              <w:spacing w:line="240" w:lineRule="exact"/>
              <w:jc w:val="both"/>
              <w:rPr>
                <w:rFonts w:ascii="Times New Roman" w:hAnsi="Times New Roman" w:cs="Times New Roman"/>
                <w:color w:val="000000" w:themeColor="text1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 xml:space="preserve">On UE power limitation for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STxMP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 xml:space="preserve"> for FR2, send LS to RAN4 to check the followings:</w:t>
            </w:r>
          </w:p>
          <w:p w14:paraId="1DA427DB" w14:textId="77777777" w:rsidR="0019258A" w:rsidRDefault="0019258A" w:rsidP="00C8175D">
            <w:pPr>
              <w:pStyle w:val="ListParagraph"/>
              <w:numPr>
                <w:ilvl w:val="0"/>
                <w:numId w:val="12"/>
              </w:numPr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Whether it is feasible to assume power limitation per panel for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(Assumption 1)</w:t>
            </w:r>
          </w:p>
          <w:p w14:paraId="3D99AEC3" w14:textId="77777777" w:rsidR="0019258A" w:rsidRDefault="0019258A" w:rsidP="00C8175D">
            <w:pPr>
              <w:pStyle w:val="ListParagraph"/>
              <w:numPr>
                <w:ilvl w:val="0"/>
                <w:numId w:val="12"/>
              </w:numPr>
              <w:spacing w:after="0" w:line="240" w:lineRule="exact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Whether it is feasible to assume a total power limitation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per UE over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all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UE panels used for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(Assumption 2)</w:t>
            </w:r>
          </w:p>
          <w:p w14:paraId="4BD23D24" w14:textId="77777777" w:rsidR="0019258A" w:rsidRDefault="0019258A" w:rsidP="00C8175D">
            <w:pPr>
              <w:pStyle w:val="ListParagraph"/>
              <w:numPr>
                <w:ilvl w:val="0"/>
                <w:numId w:val="12"/>
              </w:numPr>
              <w:spacing w:after="0" w:line="240" w:lineRule="exact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In either of Assumption1 or Assumption 2,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whether the total power limitation</w:t>
            </w:r>
            <w:r>
              <w:rPr>
                <w:rStyle w:val="xapple-converted-space"/>
                <w:rFonts w:ascii="Times New Roman" w:hAnsi="Times New Roman"/>
                <w:color w:val="000000" w:themeColor="text1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per UE over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all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UE panels used for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or the sum of per-panel power limitation for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STxMP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 xml:space="preserve"> can be different from (greater than) the existing power limitation for a given power class?</w:t>
            </w:r>
          </w:p>
          <w:p w14:paraId="5B8060CC" w14:textId="77777777" w:rsidR="0019258A" w:rsidRDefault="0019258A" w:rsidP="00C8175D">
            <w:pPr>
              <w:pStyle w:val="ListParagraph"/>
              <w:numPr>
                <w:ilvl w:val="0"/>
                <w:numId w:val="12"/>
              </w:numPr>
              <w:spacing w:after="0" w:line="240" w:lineRule="exact"/>
              <w:jc w:val="both"/>
              <w:rPr>
                <w:rFonts w:ascii="PMingLiU" w:hAnsi="PMingLiU" w:cs="Calibri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If both Assumption 1 and Assumption 2 are feasible, whether both assumptions can be applied to a same UE, and what is the relationship between the per-panel power limitation and total power limitation if both are applied</w:t>
            </w:r>
            <w:r>
              <w:rPr>
                <w:rFonts w:ascii="PMingLiU" w:hAnsi="PMingLiU" w:hint="eastAsi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  <w:t>(e.g., the sum of per-panel power limitation can be larger than the total power limitation per UE, or should be always the same)?</w:t>
            </w:r>
          </w:p>
          <w:p w14:paraId="670E6054" w14:textId="77777777" w:rsidR="0019258A" w:rsidRDefault="0019258A" w:rsidP="00C8175D">
            <w:pPr>
              <w:spacing w:line="240" w:lineRule="exact"/>
              <w:rPr>
                <w:rFonts w:ascii="PMingLiU" w:hAnsi="PMingLiU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FFS: Detail of exact LS if agreed</w:t>
            </w:r>
          </w:p>
          <w:p w14:paraId="2D9257C6" w14:textId="77777777" w:rsidR="0019258A" w:rsidRDefault="0019258A" w:rsidP="00C8175D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Note: Scenarios of above include at least single carrier scenario for FR2</w:t>
            </w:r>
          </w:p>
          <w:p w14:paraId="623E17ED" w14:textId="77777777" w:rsidR="0019258A" w:rsidRDefault="0019258A" w:rsidP="00C8175D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>Note: Above power limitation includes both total radiated power and EIRP</w:t>
            </w:r>
          </w:p>
          <w:p w14:paraId="3FD605C2" w14:textId="77777777" w:rsidR="0019258A" w:rsidRDefault="0019258A" w:rsidP="00C8175D">
            <w:pPr>
              <w:spacing w:line="240" w:lineRule="exact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 xml:space="preserve">LS to RAN4 is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green"/>
                <w:lang w:val="en-GB"/>
              </w:rPr>
              <w:t>endorsed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en-GB"/>
              </w:rPr>
              <w:t xml:space="preserve"> in R1-2205639.</w:t>
            </w:r>
          </w:p>
          <w:p w14:paraId="64D4B2F0" w14:textId="3ABA1CDC" w:rsidR="00C8175D" w:rsidRDefault="00C8175D" w:rsidP="00C8175D">
            <w:pPr>
              <w:spacing w:line="240" w:lineRule="exact"/>
              <w:rPr>
                <w:b/>
                <w:bCs/>
                <w:highlight w:val="cyan"/>
              </w:rPr>
            </w:pPr>
            <w:r>
              <w:rPr>
                <w:b/>
                <w:bCs/>
                <w:highlight w:val="cyan"/>
              </w:rPr>
              <w:t>“RAN2 impact: none”</w:t>
            </w:r>
          </w:p>
          <w:p w14:paraId="0328C681" w14:textId="7756D50C" w:rsidR="00C8175D" w:rsidRPr="00C8175D" w:rsidRDefault="00C8175D" w:rsidP="00C8175D">
            <w:pPr>
              <w:spacing w:line="240" w:lineRule="exact"/>
              <w:rPr>
                <w:rFonts w:eastAsiaTheme="minorEastAsia"/>
                <w:b/>
                <w:bCs/>
              </w:rPr>
            </w:pPr>
            <w:r>
              <w:rPr>
                <w:b/>
                <w:bCs/>
                <w:highlight w:val="cyan"/>
              </w:rPr>
              <w:t>“RAN4 impact: UE Tx power”</w:t>
            </w:r>
            <w:r>
              <w:rPr>
                <w:b/>
                <w:bCs/>
              </w:rPr>
              <w:t xml:space="preserve"> </w:t>
            </w:r>
          </w:p>
        </w:tc>
      </w:tr>
    </w:tbl>
    <w:p w14:paraId="4CB90581" w14:textId="77777777" w:rsidR="00724359" w:rsidRPr="0019258A" w:rsidRDefault="00724359"/>
    <w:sectPr w:rsidR="00724359" w:rsidRPr="0019258A" w:rsidSect="0019258A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E67490" w14:textId="77777777" w:rsidR="009D6C8D" w:rsidRDefault="009D6C8D" w:rsidP="0019258A">
      <w:r>
        <w:separator/>
      </w:r>
    </w:p>
  </w:endnote>
  <w:endnote w:type="continuationSeparator" w:id="0">
    <w:p w14:paraId="150DDB66" w14:textId="77777777" w:rsidR="009D6C8D" w:rsidRDefault="009D6C8D" w:rsidP="00192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280AD7" w14:textId="77777777" w:rsidR="009D6C8D" w:rsidRDefault="009D6C8D" w:rsidP="0019258A">
      <w:r>
        <w:separator/>
      </w:r>
    </w:p>
  </w:footnote>
  <w:footnote w:type="continuationSeparator" w:id="0">
    <w:p w14:paraId="366CADA8" w14:textId="77777777" w:rsidR="009D6C8D" w:rsidRDefault="009D6C8D" w:rsidP="00192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A4CCA"/>
    <w:multiLevelType w:val="multilevel"/>
    <w:tmpl w:val="0A0A4CCA"/>
    <w:lvl w:ilvl="0">
      <w:start w:val="1"/>
      <w:numFmt w:val="bullet"/>
      <w:lvlText w:val=""/>
      <w:lvlJc w:val="left"/>
      <w:pPr>
        <w:tabs>
          <w:tab w:val="left" w:pos="0"/>
        </w:tabs>
        <w:ind w:left="120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68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216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64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312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60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408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56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5040" w:hanging="480"/>
      </w:pPr>
      <w:rPr>
        <w:rFonts w:ascii="Wingdings" w:hAnsi="Wingdings" w:cs="Wingdings" w:hint="default"/>
      </w:rPr>
    </w:lvl>
  </w:abstractNum>
  <w:abstractNum w:abstractNumId="1" w15:restartNumberingAfterBreak="0">
    <w:nsid w:val="135E3F4A"/>
    <w:multiLevelType w:val="multilevel"/>
    <w:tmpl w:val="135E3F4A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。"/>
      <w:lvlJc w:val="left"/>
      <w:pPr>
        <w:tabs>
          <w:tab w:val="left" w:pos="0"/>
        </w:tabs>
        <w:ind w:left="1680" w:hanging="420"/>
      </w:pPr>
      <w:rPr>
        <w:rFonts w:ascii="PMingLiU" w:eastAsia="PMingLiU" w:hAnsi="PMingLiU" w:hint="eastAsia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30E0323B"/>
    <w:multiLevelType w:val="multilevel"/>
    <w:tmpl w:val="30E0323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9213D7E"/>
    <w:multiLevelType w:val="multilevel"/>
    <w:tmpl w:val="49213D7E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4" w15:restartNumberingAfterBreak="0">
    <w:nsid w:val="4E393690"/>
    <w:multiLevelType w:val="multilevel"/>
    <w:tmpl w:val="4E39369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Times New Roman" w:hAnsi="PMingLiU" w:cs="PMingLiU" w:hint="eastAsia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Arial" w:hint="default"/>
      </w:rPr>
    </w:lvl>
  </w:abstractNum>
  <w:abstractNum w:abstractNumId="5" w15:restartNumberingAfterBreak="0">
    <w:nsid w:val="4E717A53"/>
    <w:multiLevelType w:val="multilevel"/>
    <w:tmpl w:val="4E717A53"/>
    <w:lvl w:ilvl="0">
      <w:start w:val="29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102066C"/>
    <w:multiLevelType w:val="multilevel"/>
    <w:tmpl w:val="5102066C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5F161F0C"/>
    <w:multiLevelType w:val="multilevel"/>
    <w:tmpl w:val="5F161F0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。"/>
      <w:lvlJc w:val="left"/>
      <w:pPr>
        <w:tabs>
          <w:tab w:val="left" w:pos="1440"/>
        </w:tabs>
        <w:ind w:left="1440" w:hanging="360"/>
      </w:pPr>
      <w:rPr>
        <w:rFonts w:ascii="PMingLiU" w:eastAsia="PMingLiU" w:hAnsi="PMingLiU" w:hint="eastAsia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3267AE4"/>
    <w:multiLevelType w:val="multilevel"/>
    <w:tmpl w:val="63267AE4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cs="Symbol" w:hint="default"/>
      </w:rPr>
    </w:lvl>
  </w:abstractNum>
  <w:abstractNum w:abstractNumId="9" w15:restartNumberingAfterBreak="0">
    <w:nsid w:val="632C6776"/>
    <w:multiLevelType w:val="multilevel"/>
    <w:tmpl w:val="632C6776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10" w15:restartNumberingAfterBreak="0">
    <w:nsid w:val="68071A38"/>
    <w:multiLevelType w:val="multilevel"/>
    <w:tmpl w:val="68071A38"/>
    <w:lvl w:ilvl="0">
      <w:start w:val="1"/>
      <w:numFmt w:val="bullet"/>
      <w:lvlText w:val=""/>
      <w:lvlJc w:val="left"/>
      <w:pPr>
        <w:tabs>
          <w:tab w:val="left" w:pos="0"/>
        </w:tabs>
        <w:ind w:left="635" w:hanging="36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235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715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195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675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155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635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115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595" w:hanging="480"/>
      </w:pPr>
      <w:rPr>
        <w:rFonts w:ascii="Wingdings" w:hAnsi="Wingdings" w:cs="Wingdings" w:hint="default"/>
      </w:rPr>
    </w:lvl>
  </w:abstractNum>
  <w:abstractNum w:abstractNumId="11" w15:restartNumberingAfterBreak="0">
    <w:nsid w:val="68EA2619"/>
    <w:multiLevelType w:val="multilevel"/>
    <w:tmpl w:val="68EA2619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1440" w:hanging="48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2" w15:restartNumberingAfterBreak="0">
    <w:nsid w:val="735F659A"/>
    <w:multiLevelType w:val="multilevel"/>
    <w:tmpl w:val="735F659A"/>
    <w:lvl w:ilvl="0">
      <w:start w:val="1"/>
      <w:numFmt w:val="bullet"/>
      <w:lvlText w:val=""/>
      <w:lvlJc w:val="left"/>
      <w:pPr>
        <w:tabs>
          <w:tab w:val="left" w:pos="0"/>
        </w:tabs>
        <w:ind w:left="960" w:hanging="48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"/>
      <w:lvlJc w:val="left"/>
      <w:pPr>
        <w:tabs>
          <w:tab w:val="left" w:pos="0"/>
        </w:tabs>
        <w:ind w:left="1920" w:hanging="48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400" w:hanging="48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880" w:hanging="48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3360" w:hanging="48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840" w:hanging="48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4320" w:hanging="48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800" w:hanging="480"/>
      </w:pPr>
      <w:rPr>
        <w:rFonts w:ascii="Wingdings" w:hAnsi="Wingdings" w:cs="Wingdings" w:hint="default"/>
      </w:rPr>
    </w:lvl>
  </w:abstractNum>
  <w:abstractNum w:abstractNumId="13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2"/>
  </w:num>
  <w:num w:numId="4">
    <w:abstractNumId w:val="0"/>
  </w:num>
  <w:num w:numId="5">
    <w:abstractNumId w:val="7"/>
  </w:num>
  <w:num w:numId="6">
    <w:abstractNumId w:val="2"/>
  </w:num>
  <w:num w:numId="7">
    <w:abstractNumId w:val="5"/>
  </w:num>
  <w:num w:numId="8">
    <w:abstractNumId w:val="11"/>
  </w:num>
  <w:num w:numId="9">
    <w:abstractNumId w:val="3"/>
  </w:num>
  <w:num w:numId="10">
    <w:abstractNumId w:val="10"/>
  </w:num>
  <w:num w:numId="11">
    <w:abstractNumId w:val="8"/>
  </w:num>
  <w:num w:numId="12">
    <w:abstractNumId w:val="9"/>
  </w:num>
  <w:num w:numId="13">
    <w:abstractNumId w:val="4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6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8A"/>
    <w:rsid w:val="0019258A"/>
    <w:rsid w:val="006228BC"/>
    <w:rsid w:val="00724359"/>
    <w:rsid w:val="009D6C8D"/>
    <w:rsid w:val="00A54A61"/>
    <w:rsid w:val="00A72A48"/>
    <w:rsid w:val="00C8175D"/>
    <w:rsid w:val="00C84715"/>
    <w:rsid w:val="00D41811"/>
    <w:rsid w:val="00F24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20CA4"/>
  <w15:chartTrackingRefBased/>
  <w15:docId w15:val="{5645E77C-18A3-4F5F-987C-A6EED88D1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175D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19258A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9258A"/>
    <w:rPr>
      <w:b/>
      <w:bCs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sid w:val="0019258A"/>
    <w:rPr>
      <w:rFonts w:ascii="Arial" w:eastAsia="Batang" w:hAnsi="Arial" w:cs="Times New Roman"/>
      <w:sz w:val="32"/>
      <w:szCs w:val="32"/>
      <w:lang w:val="en-GB" w:eastAsia="ko-KR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列表段落11,リスト段落"/>
    <w:basedOn w:val="Normal"/>
    <w:link w:val="ListParagraphChar"/>
    <w:uiPriority w:val="34"/>
    <w:qFormat/>
    <w:rsid w:val="0019258A"/>
    <w:pPr>
      <w:widowControl/>
      <w:suppressAutoHyphens/>
      <w:spacing w:after="160" w:line="259" w:lineRule="auto"/>
      <w:ind w:left="720"/>
      <w:contextualSpacing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apple-converted-space">
    <w:name w:val="apple-converted-space"/>
    <w:basedOn w:val="DefaultParagraphFont"/>
    <w:qFormat/>
    <w:rsid w:val="0019258A"/>
  </w:style>
  <w:style w:type="character" w:customStyle="1" w:styleId="xapple-converted-space">
    <w:name w:val="x_apple-converted-space"/>
    <w:basedOn w:val="DefaultParagraphFont"/>
    <w:qFormat/>
    <w:rsid w:val="0019258A"/>
  </w:style>
  <w:style w:type="paragraph" w:styleId="Header">
    <w:name w:val="header"/>
    <w:basedOn w:val="Normal"/>
    <w:link w:val="Head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6228BC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622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228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7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D0A26-3ABE-4EF9-97FD-110FACE81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993</Words>
  <Characters>5666</Characters>
  <Application>Microsoft Office Word</Application>
  <DocSecurity>0</DocSecurity>
  <Lines>47</Lines>
  <Paragraphs>13</Paragraphs>
  <ScaleCrop>false</ScaleCrop>
  <Company>MTK</Company>
  <LinksUpToDate>false</LinksUpToDate>
  <CharactersWithSpaces>6646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Darcy Tsai (蔡承融)</dc:creator>
  <cp:keywords/>
  <dc:description/>
  <cp:lastModifiedBy>Eko Onggosanusi</cp:lastModifiedBy>
  <cp:revision>4</cp:revision>
  <dcterms:created xsi:type="dcterms:W3CDTF">2023-03-03T08:16:00Z</dcterms:created>
  <dcterms:modified xsi:type="dcterms:W3CDTF">2023-03-09T05:19:00Z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2023-02-24T09:31:23Z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6e6c16bf-8bfc-465a-b37e-3d4f9c6d4d31</vt:lpwstr>
  </property>
  <property fmtid="{D5CDD505-2E9C-101B-9397-08002B2CF9AE}" pid="8" name="MSIP_Label_83bcef13-7cac-433f-ba1d-47a323951816_ContentBits">
    <vt:lpwstr>0</vt:lpwstr>
  </property>
</Properties>
</file>